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D" w:rsidRDefault="00D87181" w:rsidP="00D871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Πειθαρχική υπόθεση </w:t>
      </w:r>
      <w:r w:rsidR="004E75D4">
        <w:rPr>
          <w:sz w:val="24"/>
          <w:szCs w:val="24"/>
        </w:rPr>
        <w:t>…</w:t>
      </w:r>
    </w:p>
    <w:p w:rsidR="00D87181" w:rsidRDefault="00D87181" w:rsidP="00D87181">
      <w:pPr>
        <w:jc w:val="center"/>
        <w:rPr>
          <w:sz w:val="24"/>
          <w:szCs w:val="24"/>
        </w:rPr>
      </w:pPr>
    </w:p>
    <w:p w:rsidR="00B9438E" w:rsidRDefault="00D87181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>Μετά από μελέτη του φακέλου που</w:t>
      </w:r>
      <w:r w:rsidR="00DB537E">
        <w:rPr>
          <w:sz w:val="24"/>
          <w:szCs w:val="24"/>
        </w:rPr>
        <w:t xml:space="preserve"> αφορά στον κ. </w:t>
      </w:r>
      <w:r w:rsidR="00EF2915" w:rsidRP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και έχοντας υπόψη:</w:t>
      </w:r>
    </w:p>
    <w:p w:rsidR="00D87181" w:rsidRDefault="00B9438E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87181" w:rsidRPr="00D87181">
        <w:rPr>
          <w:sz w:val="24"/>
          <w:szCs w:val="24"/>
        </w:rPr>
        <w:t xml:space="preserve">Τις διατάξεις </w:t>
      </w:r>
      <w:r w:rsidR="009C2FEF">
        <w:rPr>
          <w:sz w:val="24"/>
          <w:szCs w:val="24"/>
        </w:rPr>
        <w:t>του Ν</w:t>
      </w:r>
      <w:r w:rsidR="00D87181" w:rsidRPr="00D87181">
        <w:rPr>
          <w:sz w:val="24"/>
          <w:szCs w:val="24"/>
        </w:rPr>
        <w:t>. 4057/2012 (ΦΕΚ 54 τ. Α’) με θέμα «Πειθαρχικό Δίκαιο Δημοσίων Πολιτικών Υπαλλήλων</w:t>
      </w:r>
      <w:r>
        <w:rPr>
          <w:sz w:val="24"/>
          <w:szCs w:val="24"/>
        </w:rPr>
        <w:t xml:space="preserve"> και Υπαλλήλων Νομικών Προσώπων Δημοσίου Δικαίου» και ειδικότερα, το άρθρο 107 παρ. 1 </w:t>
      </w:r>
      <w:proofErr w:type="spellStart"/>
      <w:r>
        <w:rPr>
          <w:sz w:val="24"/>
          <w:szCs w:val="24"/>
        </w:rPr>
        <w:t>περ</w:t>
      </w:r>
      <w:proofErr w:type="spellEnd"/>
      <w:r>
        <w:rPr>
          <w:sz w:val="24"/>
          <w:szCs w:val="24"/>
        </w:rPr>
        <w:t>. ι.</w:t>
      </w:r>
    </w:p>
    <w:p w:rsidR="00B9438E" w:rsidRPr="00EF2915" w:rsidRDefault="00B9438E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2)Το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έγγραφο του Α/</w:t>
      </w:r>
      <w:proofErr w:type="spellStart"/>
      <w:r>
        <w:rPr>
          <w:sz w:val="24"/>
          <w:szCs w:val="24"/>
        </w:rPr>
        <w:t>θμιου</w:t>
      </w:r>
      <w:proofErr w:type="spellEnd"/>
      <w:r>
        <w:rPr>
          <w:sz w:val="24"/>
          <w:szCs w:val="24"/>
        </w:rPr>
        <w:t xml:space="preserve"> Πειθαρχικού Συμβουλίου με το οποίο ο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κλήθηκε σε απολογία για το πειθαρχικό παράπτωμα της αδικαιολόγητης αποχής από την εκτέλεση των καθηκόντων του και το οποίο τοιχοκολλήθηκε στις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και επιδόθηκε μέσω του Αστυνομικού Τμήματος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με </w:t>
      </w:r>
      <w:proofErr w:type="spellStart"/>
      <w:r>
        <w:rPr>
          <w:sz w:val="24"/>
          <w:szCs w:val="24"/>
        </w:rPr>
        <w:t>ημερ</w:t>
      </w:r>
      <w:proofErr w:type="spellEnd"/>
      <w:r>
        <w:rPr>
          <w:sz w:val="24"/>
          <w:szCs w:val="24"/>
        </w:rPr>
        <w:t xml:space="preserve">.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όπως μας διαβιβάσθηκε με το αρ. Φ</w:t>
      </w:r>
      <w:r w:rsidR="00EF2915">
        <w:rPr>
          <w:sz w:val="24"/>
          <w:szCs w:val="24"/>
        </w:rPr>
        <w:t>…</w:t>
      </w:r>
      <w:r w:rsidR="00EF2915" w:rsidRPr="00EF2915">
        <w:rPr>
          <w:sz w:val="24"/>
          <w:szCs w:val="24"/>
        </w:rPr>
        <w:t>.</w:t>
      </w:r>
    </w:p>
    <w:p w:rsidR="00BC36F7" w:rsidRDefault="009C2FEF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3)Το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</w:t>
      </w:r>
      <w:r w:rsidR="00EF2915" w:rsidRP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έγγραφο της Δ/</w:t>
      </w:r>
      <w:proofErr w:type="spellStart"/>
      <w:r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</w:t>
      </w:r>
      <w:r w:rsidR="005B2C51">
        <w:rPr>
          <w:sz w:val="24"/>
          <w:szCs w:val="24"/>
        </w:rPr>
        <w:t xml:space="preserve">Πολιτικού Προσωπικού του Γενικού </w:t>
      </w:r>
      <w:r>
        <w:rPr>
          <w:sz w:val="24"/>
          <w:szCs w:val="24"/>
        </w:rPr>
        <w:t xml:space="preserve">Επιτελείου Στρατού προς το Α/θμιο Πειθαρχικό Συμβούλιο του ΥΠΕΘΑ με θέμα : Παραπομπή του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διότι κατόπιν της Ε.Δ.Ε. που διενεργήθηκε προέκυψε ότι υπέπεσε στο πειθαρχικό παράπτωμα της αδικαιολόγητης αποχής από την εκτέλεση των </w:t>
      </w:r>
      <w:r w:rsidR="005B2C51">
        <w:rPr>
          <w:sz w:val="24"/>
          <w:szCs w:val="24"/>
        </w:rPr>
        <w:t xml:space="preserve">υπηρεσιακών </w:t>
      </w:r>
      <w:r>
        <w:rPr>
          <w:sz w:val="24"/>
          <w:szCs w:val="24"/>
        </w:rPr>
        <w:t xml:space="preserve">καθηκόντων του για χρονικό διάστημα που υπερβαίνει τις είκοσι δύο (22) εργάσιμες ημέρες </w:t>
      </w:r>
      <w:r w:rsidR="005B2C51">
        <w:rPr>
          <w:sz w:val="24"/>
          <w:szCs w:val="24"/>
        </w:rPr>
        <w:t>συνεχώ</w:t>
      </w:r>
      <w:r>
        <w:rPr>
          <w:sz w:val="24"/>
          <w:szCs w:val="24"/>
        </w:rPr>
        <w:t xml:space="preserve">ς ή τις τριάντα (30) εργάσιμες ημέρες σε διάστημα ενός (1) έτους και συγκεκριμένα από 7-1-13 μέχρι και την ημερομηνία σύνταξης του πορίσματος ήτοι 1-3-13 (αρ. 107 παρ. 1 ι του </w:t>
      </w:r>
      <w:r w:rsidR="005B2C51">
        <w:rPr>
          <w:sz w:val="24"/>
          <w:szCs w:val="24"/>
        </w:rPr>
        <w:t>Ν.</w:t>
      </w:r>
      <w:r w:rsidR="00F44971">
        <w:rPr>
          <w:sz w:val="24"/>
          <w:szCs w:val="24"/>
        </w:rPr>
        <w:t>4057/</w:t>
      </w:r>
      <w:r w:rsidR="00B37748">
        <w:rPr>
          <w:sz w:val="24"/>
          <w:szCs w:val="24"/>
        </w:rPr>
        <w:t>20</w:t>
      </w:r>
      <w:r w:rsidR="00F44971">
        <w:rPr>
          <w:sz w:val="24"/>
          <w:szCs w:val="24"/>
        </w:rPr>
        <w:t>12</w:t>
      </w:r>
      <w:r w:rsidR="00BC36F7">
        <w:rPr>
          <w:sz w:val="24"/>
          <w:szCs w:val="24"/>
        </w:rPr>
        <w:t>, όπως ισχύει).</w:t>
      </w:r>
    </w:p>
    <w:p w:rsidR="009C2FEF" w:rsidRDefault="00BC36F7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4)Τη </w:t>
      </w:r>
      <w:r w:rsidR="009C2FEF">
        <w:rPr>
          <w:sz w:val="24"/>
          <w:szCs w:val="24"/>
        </w:rPr>
        <w:t>δι</w:t>
      </w:r>
      <w:r>
        <w:rPr>
          <w:sz w:val="24"/>
          <w:szCs w:val="24"/>
        </w:rPr>
        <w:t xml:space="preserve">ενεργηθείσα Ε.Δ.Ε. στις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σε εκτέλεση της </w:t>
      </w:r>
      <w:r w:rsidR="00EF2915">
        <w:rPr>
          <w:sz w:val="24"/>
          <w:szCs w:val="24"/>
        </w:rPr>
        <w:t>… διαταγής της …</w:t>
      </w:r>
      <w:r>
        <w:rPr>
          <w:sz w:val="24"/>
          <w:szCs w:val="24"/>
        </w:rPr>
        <w:t xml:space="preserve"> όπως αυτή διαβιβάσθηκε στο ΓΕΣ/ΔΓΕ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, σύμφωνα με την οποία ο διενεργήσας αυτήν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αποφαίνεται ότι: ο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υπέπεσε στο</w:t>
      </w:r>
      <w:r w:rsidR="00EF2915" w:rsidRPr="00EF2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πειθαρχικό παράπτωμα της αδικαιολόγητης απουσίας από την Υπηρεσία, καθόσον απουσιάζει επί δίμηνο σχεδόν μέχρι σήμερα, χωρίς καμία ειδοποίηση και χωρίς να έχει ανταποκριθεί </w:t>
      </w:r>
      <w:r w:rsidR="00167C60">
        <w:rPr>
          <w:sz w:val="24"/>
          <w:szCs w:val="24"/>
        </w:rPr>
        <w:t>στις επανειλημ</w:t>
      </w:r>
      <w:r w:rsidR="00A41564">
        <w:rPr>
          <w:sz w:val="24"/>
          <w:szCs w:val="24"/>
        </w:rPr>
        <w:t>μ</w:t>
      </w:r>
      <w:r w:rsidR="00167C60">
        <w:rPr>
          <w:sz w:val="24"/>
          <w:szCs w:val="24"/>
        </w:rPr>
        <w:t>ένες και επίμονες προσπάθειες της Υπηρεσίας για την ανεύρεσή του.</w:t>
      </w:r>
    </w:p>
    <w:p w:rsidR="00167C60" w:rsidRDefault="001F65CE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5)Τη με αρ. </w:t>
      </w:r>
      <w:r w:rsidR="00EF2915">
        <w:rPr>
          <w:sz w:val="24"/>
          <w:szCs w:val="24"/>
        </w:rPr>
        <w:t>…</w:t>
      </w:r>
      <w:r w:rsidR="00167C60">
        <w:rPr>
          <w:sz w:val="24"/>
          <w:szCs w:val="24"/>
        </w:rPr>
        <w:t xml:space="preserve"> ειδοποίηση – ενημέρωση </w:t>
      </w:r>
      <w:r w:rsidR="004020D8">
        <w:rPr>
          <w:sz w:val="24"/>
          <w:szCs w:val="24"/>
        </w:rPr>
        <w:t>της …</w:t>
      </w:r>
      <w:r w:rsidR="00167C60">
        <w:rPr>
          <w:sz w:val="24"/>
          <w:szCs w:val="24"/>
        </w:rPr>
        <w:t xml:space="preserve"> προς τον κ. </w:t>
      </w:r>
      <w:r w:rsidR="00EF2915">
        <w:rPr>
          <w:sz w:val="24"/>
          <w:szCs w:val="24"/>
        </w:rPr>
        <w:t>…</w:t>
      </w:r>
      <w:r w:rsidR="00167C60">
        <w:rPr>
          <w:sz w:val="24"/>
          <w:szCs w:val="24"/>
        </w:rPr>
        <w:t xml:space="preserve"> με την οποία του υπενθυμίζουν ότι από </w:t>
      </w:r>
      <w:r w:rsidR="00EF2915">
        <w:rPr>
          <w:sz w:val="24"/>
          <w:szCs w:val="24"/>
        </w:rPr>
        <w:t>…</w:t>
      </w:r>
      <w:r w:rsidR="00167C60">
        <w:rPr>
          <w:sz w:val="24"/>
          <w:szCs w:val="24"/>
        </w:rPr>
        <w:t xml:space="preserve"> θεωρείται αδικαιολογήτως απών καθώς έληξε η αναρρωτική του άδεια την </w:t>
      </w:r>
      <w:r w:rsidR="00EF2915">
        <w:rPr>
          <w:sz w:val="24"/>
          <w:szCs w:val="24"/>
        </w:rPr>
        <w:t>…</w:t>
      </w:r>
      <w:r w:rsidR="00167C60">
        <w:rPr>
          <w:sz w:val="24"/>
          <w:szCs w:val="24"/>
        </w:rPr>
        <w:t xml:space="preserve"> και ο ίδιος δεν έχει ενημερώσει για τους λόγους της απουσίας του παρά τις επανειλημμένες προσπάθειες της Υπηρεσίας, τον καλούν δε να τακτοποιήσει τις εκκρεμότητές του. </w:t>
      </w:r>
    </w:p>
    <w:p w:rsidR="00EF364B" w:rsidRDefault="00167C60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Προκύπτει αδιαμφισβήτητα ότι ο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απουσίασε αδικαιολόγητα από την Υπηρεσία του  από την 7-1-13 έως και την ημερομηνία σύνταξης του παραπεμπτικού προς το Α/θμιο Πειθαρχικό Συμβούλιο του ΥΠΕΘΑ ήτοι 1-3-13 δηλ.</w:t>
      </w:r>
      <w:r w:rsidR="00EF364B">
        <w:rPr>
          <w:sz w:val="24"/>
          <w:szCs w:val="24"/>
        </w:rPr>
        <w:t xml:space="preserve"> άνω των 22 ημερών και υπέπεσε στο πειθαρχικό παράπτωμα  του αρ. 107 παρ. 1 </w:t>
      </w:r>
      <w:proofErr w:type="spellStart"/>
      <w:r w:rsidR="00EF364B">
        <w:rPr>
          <w:sz w:val="24"/>
          <w:szCs w:val="24"/>
        </w:rPr>
        <w:t>περ</w:t>
      </w:r>
      <w:proofErr w:type="spellEnd"/>
      <w:r w:rsidR="00EF364B">
        <w:rPr>
          <w:sz w:val="24"/>
          <w:szCs w:val="24"/>
        </w:rPr>
        <w:t>. ι του Ν. 4057/2012.</w:t>
      </w:r>
    </w:p>
    <w:p w:rsidR="00EF364B" w:rsidRDefault="00EF364B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Λαμβάνοντας υπόψη </w:t>
      </w:r>
    </w:p>
    <w:p w:rsidR="007058ED" w:rsidRDefault="00EF364B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α)τα προβλεπόμενα στο αρ. 109 παρ. 5 α’ </w:t>
      </w:r>
      <w:proofErr w:type="spellStart"/>
      <w:r>
        <w:rPr>
          <w:sz w:val="24"/>
          <w:szCs w:val="24"/>
        </w:rPr>
        <w:t>εδ</w:t>
      </w:r>
      <w:proofErr w:type="spellEnd"/>
      <w:r>
        <w:rPr>
          <w:sz w:val="24"/>
          <w:szCs w:val="24"/>
        </w:rPr>
        <w:t xml:space="preserve">. β. </w:t>
      </w:r>
      <w:r w:rsidR="00C566FC">
        <w:rPr>
          <w:sz w:val="24"/>
          <w:szCs w:val="24"/>
        </w:rPr>
        <w:t xml:space="preserve">του Ν. 4057/2012 </w:t>
      </w:r>
      <w:r>
        <w:rPr>
          <w:sz w:val="24"/>
          <w:szCs w:val="24"/>
        </w:rPr>
        <w:t xml:space="preserve">σύμφωνα με το οποίο για το παράπτωμα της αδικαιολόγητης αποχής δεν μπορεί να επιβληθεί ποινή κατώτερη </w:t>
      </w:r>
      <w:r w:rsidR="007058ED">
        <w:rPr>
          <w:sz w:val="24"/>
          <w:szCs w:val="24"/>
        </w:rPr>
        <w:t>του υποβιβασμού αν η αδικαιολόγητη αποχή υπερβαίνει τις είκοσι δύο (22) εργάσιμες ημέρες συνεχώς.</w:t>
      </w:r>
    </w:p>
    <w:p w:rsidR="00EF364B" w:rsidRDefault="007058ED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β)το γεγονός ότι ο </w:t>
      </w:r>
      <w:r w:rsidR="00EF2915">
        <w:rPr>
          <w:sz w:val="24"/>
          <w:szCs w:val="24"/>
        </w:rPr>
        <w:t>…</w:t>
      </w:r>
      <w:r w:rsidR="00EF2915" w:rsidRPr="00EF2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δεν εκδήλωσε κανένα ενδιαφέρον να επιστρέψει στην Υπηρεσία του ή να την ενημερώσει παρά τις επανειλημμένες προσπάθειες εκ μέρους της Υπηρεσίας του και των συναδέλφων του όπως προκύπτει από τις καταθέσεις των μαρτύρων στην Ε.Δ.Ε. και την γραπτή ενημέρωση του </w:t>
      </w:r>
      <w:proofErr w:type="spellStart"/>
      <w:r>
        <w:rPr>
          <w:sz w:val="24"/>
          <w:szCs w:val="24"/>
        </w:rPr>
        <w:t>ανθ</w:t>
      </w:r>
      <w:proofErr w:type="spellEnd"/>
      <w:r>
        <w:rPr>
          <w:sz w:val="24"/>
          <w:szCs w:val="24"/>
        </w:rPr>
        <w:t>/</w:t>
      </w:r>
      <w:proofErr w:type="spellStart"/>
      <w:r w:rsidR="00EF2915">
        <w:rPr>
          <w:sz w:val="24"/>
          <w:szCs w:val="24"/>
        </w:rPr>
        <w:t>γου</w:t>
      </w:r>
      <w:proofErr w:type="spellEnd"/>
      <w:r w:rsidR="00EF2915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ο οποίος ύστερα από προφορική διαταγή του Διοικητή επισκέφθηκε την κατοικία του.</w:t>
      </w:r>
    </w:p>
    <w:p w:rsidR="00266495" w:rsidRPr="00266495" w:rsidRDefault="007058ED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γ)δεν υπέβαλε απολογητικό υπόμνημα κατόπιν της με αρ.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κλήσης σε απολογία ούτε παρουσιάσθηκε την ημέρα συζήτησης της πειθαρχικής υπόθεσής του κατόπιν της με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</w:t>
      </w:r>
      <w:r w:rsidR="00EF2915">
        <w:rPr>
          <w:sz w:val="24"/>
          <w:szCs w:val="24"/>
        </w:rPr>
        <w:t>…</w:t>
      </w:r>
      <w:r>
        <w:rPr>
          <w:sz w:val="24"/>
          <w:szCs w:val="24"/>
        </w:rPr>
        <w:t xml:space="preserve"> γνωστοποίησης </w:t>
      </w:r>
    </w:p>
    <w:p w:rsidR="00266495" w:rsidRPr="00EF2915" w:rsidRDefault="00266495" w:rsidP="00D87181">
      <w:pPr>
        <w:jc w:val="both"/>
        <w:rPr>
          <w:sz w:val="24"/>
          <w:szCs w:val="24"/>
        </w:rPr>
      </w:pPr>
    </w:p>
    <w:p w:rsidR="00266495" w:rsidRDefault="00266495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ΕΙΣΗΓΟΥΜΑΙ </w:t>
      </w:r>
    </w:p>
    <w:p w:rsidR="007058ED" w:rsidRDefault="0006552F" w:rsidP="00D87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την ποινή της οριστικής παύσης σύμφωνα με το αρ. 109 παρ. 1 </w:t>
      </w:r>
      <w:proofErr w:type="spellStart"/>
      <w:r>
        <w:rPr>
          <w:sz w:val="24"/>
          <w:szCs w:val="24"/>
        </w:rPr>
        <w:t>περ</w:t>
      </w:r>
      <w:proofErr w:type="spellEnd"/>
      <w:r>
        <w:rPr>
          <w:sz w:val="24"/>
          <w:szCs w:val="24"/>
        </w:rPr>
        <w:t>. η του Ν. 4057/2012.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  <w:r w:rsidRPr="00266495">
        <w:rPr>
          <w:sz w:val="24"/>
          <w:szCs w:val="24"/>
        </w:rPr>
        <w:t xml:space="preserve">Στη συνέχεια το Συμβούλιο αφού μελέτησε διεξοδικά το φάκελο της υπόθεσης, 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</w:p>
    <w:p w:rsidR="00266495" w:rsidRPr="00266495" w:rsidRDefault="00266495" w:rsidP="00266495">
      <w:pPr>
        <w:jc w:val="both"/>
        <w:rPr>
          <w:sz w:val="24"/>
          <w:szCs w:val="24"/>
        </w:rPr>
      </w:pPr>
      <w:r w:rsidRPr="00266495">
        <w:rPr>
          <w:sz w:val="24"/>
          <w:szCs w:val="24"/>
        </w:rPr>
        <w:t>ΑΠΟΦΑΣΙΣΕ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</w:p>
    <w:p w:rsidR="00266495" w:rsidRPr="00266495" w:rsidRDefault="00266495" w:rsidP="00266495">
      <w:pPr>
        <w:jc w:val="both"/>
        <w:rPr>
          <w:sz w:val="24"/>
          <w:szCs w:val="24"/>
        </w:rPr>
      </w:pPr>
      <w:r w:rsidRPr="00266495">
        <w:rPr>
          <w:sz w:val="24"/>
          <w:szCs w:val="24"/>
        </w:rPr>
        <w:t xml:space="preserve">ομόφωνα ότι ο υπάλληλος υπέπεσε στο πειθαρχικό παράπτωμα της αδικαιολόγητης αποχής από την εκτέλεση των καθηκόντων (άρθρο 107 παρ 1 εδάφιο </w:t>
      </w:r>
      <w:proofErr w:type="spellStart"/>
      <w:r w:rsidRPr="00266495">
        <w:rPr>
          <w:sz w:val="24"/>
          <w:szCs w:val="24"/>
        </w:rPr>
        <w:t>ι΄</w:t>
      </w:r>
      <w:proofErr w:type="spellEnd"/>
      <w:r w:rsidRPr="00266495">
        <w:rPr>
          <w:sz w:val="24"/>
          <w:szCs w:val="24"/>
        </w:rPr>
        <w:t xml:space="preserve"> ΥΚ), επειδή απουσίαζε αδικαιολόγητα από την εργασία του, για χρονικό διάστημα που υπερβαίνει τις είκοσι δύο (22) εργάσιμες ημέρες συνεχώς </w:t>
      </w:r>
      <w:r w:rsidR="003B4DDC" w:rsidRPr="003B4DDC">
        <w:rPr>
          <w:sz w:val="24"/>
          <w:szCs w:val="24"/>
        </w:rPr>
        <w:t xml:space="preserve">ή τις τριάντα (30) εργάσιμες ημέρες σε διάστημα ενός (1) έτους </w:t>
      </w:r>
      <w:bookmarkStart w:id="0" w:name="_GoBack"/>
      <w:bookmarkEnd w:id="0"/>
      <w:r w:rsidRPr="00266495">
        <w:rPr>
          <w:sz w:val="24"/>
          <w:szCs w:val="24"/>
        </w:rPr>
        <w:t>και συγκεκριμένα από 7-1-</w:t>
      </w:r>
      <w:r w:rsidR="00D20BF2">
        <w:rPr>
          <w:sz w:val="24"/>
          <w:szCs w:val="24"/>
        </w:rPr>
        <w:t>20</w:t>
      </w:r>
      <w:r w:rsidRPr="00266495">
        <w:rPr>
          <w:sz w:val="24"/>
          <w:szCs w:val="24"/>
        </w:rPr>
        <w:t xml:space="preserve">13 έως </w:t>
      </w:r>
      <w:r w:rsidR="00D20BF2">
        <w:rPr>
          <w:sz w:val="24"/>
          <w:szCs w:val="24"/>
        </w:rPr>
        <w:t>1-3-2013</w:t>
      </w:r>
      <w:r w:rsidRPr="00266495">
        <w:rPr>
          <w:sz w:val="24"/>
          <w:szCs w:val="24"/>
        </w:rPr>
        <w:t>, κατά τις οποίες αυτός δεν καλυπτόταν από νόμιμη άδεια και εκτιμώντας τις συνθήκες και τη βαρύτητα του παραπτώματος και την εν γένει υπηρεσιακή του συμπεριφορά</w:t>
      </w:r>
      <w:r w:rsidR="00D20BF2">
        <w:rPr>
          <w:sz w:val="24"/>
          <w:szCs w:val="24"/>
        </w:rPr>
        <w:t xml:space="preserve">, εκφάνσεις της οποίας σαφώς προκύπτουν από το γεγονός ότι </w:t>
      </w:r>
      <w:r w:rsidR="00D20BF2" w:rsidRPr="00D20BF2">
        <w:rPr>
          <w:sz w:val="24"/>
          <w:szCs w:val="24"/>
        </w:rPr>
        <w:t xml:space="preserve">δεν εκδήλωσε κανένα ενδιαφέρον να επιστρέψει στην Υπηρεσία του ή να την ενημερώσει παρά τις επανειλημμένες προσπάθειες εκ μέρους της Υπηρεσίας του και των συναδέλφων του όπως προκύπτει από τις καταθέσεις των μαρτύρων στην Ε.Δ.Ε. και την γραπτή ενημέρωση του </w:t>
      </w:r>
      <w:proofErr w:type="spellStart"/>
      <w:r w:rsidR="00D20BF2" w:rsidRPr="00D20BF2">
        <w:rPr>
          <w:sz w:val="24"/>
          <w:szCs w:val="24"/>
        </w:rPr>
        <w:t>ανθ</w:t>
      </w:r>
      <w:proofErr w:type="spellEnd"/>
      <w:r w:rsidR="00D20BF2" w:rsidRPr="00D20BF2">
        <w:rPr>
          <w:sz w:val="24"/>
          <w:szCs w:val="24"/>
        </w:rPr>
        <w:t>/</w:t>
      </w:r>
      <w:proofErr w:type="spellStart"/>
      <w:r w:rsidR="00D20BF2" w:rsidRPr="00D20BF2">
        <w:rPr>
          <w:sz w:val="24"/>
          <w:szCs w:val="24"/>
        </w:rPr>
        <w:t>γου</w:t>
      </w:r>
      <w:proofErr w:type="spellEnd"/>
      <w:r w:rsidR="00EF2915">
        <w:rPr>
          <w:sz w:val="24"/>
          <w:szCs w:val="24"/>
        </w:rPr>
        <w:t xml:space="preserve"> …</w:t>
      </w:r>
      <w:r w:rsidR="00D20BF2" w:rsidRPr="00D20BF2">
        <w:rPr>
          <w:sz w:val="24"/>
          <w:szCs w:val="24"/>
        </w:rPr>
        <w:t xml:space="preserve"> ο οποίος ύστερα από προφορική διαταγή του Διοικητή επισκέφθηκε την κατοικία του</w:t>
      </w:r>
      <w:r w:rsidR="00D20BF2">
        <w:rPr>
          <w:sz w:val="24"/>
          <w:szCs w:val="24"/>
        </w:rPr>
        <w:t xml:space="preserve">, αλλά και από το γεγονός ότι </w:t>
      </w:r>
      <w:r w:rsidR="00D20BF2" w:rsidRPr="00D20BF2">
        <w:rPr>
          <w:sz w:val="24"/>
          <w:szCs w:val="24"/>
        </w:rPr>
        <w:t xml:space="preserve">δεν υπέβαλε απολογητικό υπόμνημα </w:t>
      </w:r>
      <w:r w:rsidR="00D20BF2">
        <w:rPr>
          <w:sz w:val="24"/>
          <w:szCs w:val="24"/>
        </w:rPr>
        <w:t xml:space="preserve">στο παρόν Συμβούλιο μετά από την </w:t>
      </w:r>
      <w:r w:rsidR="00D20BF2" w:rsidRPr="00D20BF2">
        <w:rPr>
          <w:sz w:val="24"/>
          <w:szCs w:val="24"/>
        </w:rPr>
        <w:t>κλήση</w:t>
      </w:r>
      <w:r w:rsidR="00D20BF2">
        <w:rPr>
          <w:sz w:val="24"/>
          <w:szCs w:val="24"/>
        </w:rPr>
        <w:t xml:space="preserve"> του</w:t>
      </w:r>
      <w:r w:rsidR="00D20BF2" w:rsidRPr="00D20BF2">
        <w:rPr>
          <w:sz w:val="24"/>
          <w:szCs w:val="24"/>
        </w:rPr>
        <w:t xml:space="preserve"> σε απολογία</w:t>
      </w:r>
      <w:r w:rsidR="00D20BF2">
        <w:rPr>
          <w:sz w:val="24"/>
          <w:szCs w:val="24"/>
        </w:rPr>
        <w:t xml:space="preserve">, ενώ </w:t>
      </w:r>
      <w:r w:rsidR="00D20BF2" w:rsidRPr="00D20BF2">
        <w:rPr>
          <w:sz w:val="24"/>
          <w:szCs w:val="24"/>
        </w:rPr>
        <w:t xml:space="preserve">ούτε παρουσιάσθηκε την ημέρα συζήτησης της πειθαρχικής </w:t>
      </w:r>
      <w:r w:rsidR="00D20BF2" w:rsidRPr="00D20BF2">
        <w:rPr>
          <w:sz w:val="24"/>
          <w:szCs w:val="24"/>
        </w:rPr>
        <w:lastRenderedPageBreak/>
        <w:t>υπόθεσής του</w:t>
      </w:r>
      <w:r w:rsidR="00D20BF2">
        <w:rPr>
          <w:sz w:val="24"/>
          <w:szCs w:val="24"/>
        </w:rPr>
        <w:t xml:space="preserve">, μετά από τη νόμιμη κλήτευσή του, </w:t>
      </w:r>
      <w:r w:rsidRPr="00266495">
        <w:rPr>
          <w:sz w:val="24"/>
          <w:szCs w:val="24"/>
        </w:rPr>
        <w:t xml:space="preserve">επιβάλλει κατ’ αποδοχή της εισήγησης την ποινή της οριστικής παύσης λόγω αδικαιολόγητης απουσίας του από την Υπηρεσία, </w:t>
      </w:r>
      <w:proofErr w:type="spellStart"/>
      <w:r w:rsidRPr="00266495">
        <w:rPr>
          <w:sz w:val="24"/>
          <w:szCs w:val="24"/>
        </w:rPr>
        <w:t>κατ΄</w:t>
      </w:r>
      <w:proofErr w:type="spellEnd"/>
      <w:r w:rsidRPr="00266495">
        <w:rPr>
          <w:sz w:val="24"/>
          <w:szCs w:val="24"/>
        </w:rPr>
        <w:t xml:space="preserve"> άρθρο 109 παρ. 1η, 107 παρ. 1ι. 109 παρ. 5α εδάφιο δεύτερο, 111 παρ. 2 ΥΚ (</w:t>
      </w:r>
      <w:proofErr w:type="spellStart"/>
      <w:r w:rsidRPr="00266495">
        <w:rPr>
          <w:sz w:val="24"/>
          <w:szCs w:val="24"/>
        </w:rPr>
        <w:t>ΣτΕ</w:t>
      </w:r>
      <w:proofErr w:type="spellEnd"/>
      <w:r w:rsidRPr="00266495">
        <w:rPr>
          <w:sz w:val="24"/>
          <w:szCs w:val="24"/>
        </w:rPr>
        <w:t xml:space="preserve"> 1793/2012). 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</w:p>
    <w:p w:rsidR="00266495" w:rsidRPr="00266495" w:rsidRDefault="00266495" w:rsidP="00266495">
      <w:pPr>
        <w:jc w:val="both"/>
        <w:rPr>
          <w:sz w:val="24"/>
          <w:szCs w:val="24"/>
        </w:rPr>
      </w:pPr>
      <w:r w:rsidRPr="00266495">
        <w:rPr>
          <w:sz w:val="24"/>
          <w:szCs w:val="24"/>
        </w:rPr>
        <w:t>Στο σημείο αυτό μη υπάρχοντος άλλου θέματος για συζήτηση λύεται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  <w:r w:rsidRPr="00266495">
        <w:rPr>
          <w:sz w:val="24"/>
          <w:szCs w:val="24"/>
        </w:rPr>
        <w:t xml:space="preserve"> η συνεδρίαση.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  <w:r w:rsidRPr="00266495">
        <w:rPr>
          <w:sz w:val="24"/>
          <w:szCs w:val="24"/>
        </w:rPr>
        <w:t xml:space="preserve">Σε πιστοποίηση των ανωτέρω συντάχθηκε το παρόν πρακτικό 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  <w:r w:rsidRPr="00266495">
        <w:rPr>
          <w:sz w:val="24"/>
          <w:szCs w:val="24"/>
        </w:rPr>
        <w:t>και υπογράφεται ως ακολούθως.</w:t>
      </w:r>
    </w:p>
    <w:p w:rsidR="00266495" w:rsidRPr="00266495" w:rsidRDefault="00266495" w:rsidP="002664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50"/>
        <w:gridCol w:w="2765"/>
        <w:gridCol w:w="2907"/>
      </w:tblGrid>
      <w:tr w:rsidR="00266495" w:rsidRPr="00266495" w:rsidTr="00B07F38">
        <w:trPr>
          <w:jc w:val="center"/>
        </w:trPr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  <w:r w:rsidRPr="00266495">
              <w:rPr>
                <w:sz w:val="24"/>
                <w:szCs w:val="24"/>
              </w:rPr>
              <w:t>Ο ΠΡΟΕΔΡΟΣ</w:t>
            </w: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  <w:r w:rsidRPr="00266495">
              <w:rPr>
                <w:sz w:val="24"/>
                <w:szCs w:val="24"/>
              </w:rPr>
              <w:t>ΤΑ ΜΕΛΗ</w:t>
            </w: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  <w:r w:rsidRPr="00266495">
              <w:rPr>
                <w:sz w:val="24"/>
                <w:szCs w:val="24"/>
              </w:rPr>
              <w:t>Η ΓΡΑΜΜΑΤΕΑΣ</w:t>
            </w:r>
          </w:p>
        </w:tc>
      </w:tr>
      <w:tr w:rsidR="00266495" w:rsidRPr="00266495" w:rsidTr="00B07F38">
        <w:trPr>
          <w:jc w:val="center"/>
        </w:trPr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</w:tr>
      <w:tr w:rsidR="00266495" w:rsidRPr="00266495" w:rsidTr="00B07F38">
        <w:trPr>
          <w:jc w:val="center"/>
        </w:trPr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</w:tr>
      <w:tr w:rsidR="00266495" w:rsidRPr="00266495" w:rsidTr="00B07F38">
        <w:trPr>
          <w:jc w:val="center"/>
        </w:trPr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</w:tr>
      <w:tr w:rsidR="00266495" w:rsidRPr="00266495" w:rsidTr="00B07F38">
        <w:trPr>
          <w:jc w:val="center"/>
        </w:trPr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66495" w:rsidRPr="00266495" w:rsidRDefault="00266495" w:rsidP="00266495">
            <w:pPr>
              <w:jc w:val="both"/>
              <w:rPr>
                <w:sz w:val="24"/>
                <w:szCs w:val="24"/>
              </w:rPr>
            </w:pPr>
          </w:p>
        </w:tc>
      </w:tr>
    </w:tbl>
    <w:p w:rsidR="00266495" w:rsidRPr="00266495" w:rsidRDefault="00266495" w:rsidP="00266495">
      <w:pPr>
        <w:jc w:val="both"/>
        <w:rPr>
          <w:sz w:val="24"/>
          <w:szCs w:val="24"/>
          <w:lang w:val="en-US"/>
        </w:rPr>
      </w:pPr>
    </w:p>
    <w:p w:rsidR="00266495" w:rsidRDefault="00266495" w:rsidP="00D87181">
      <w:pPr>
        <w:jc w:val="both"/>
        <w:rPr>
          <w:sz w:val="24"/>
          <w:szCs w:val="24"/>
        </w:rPr>
      </w:pPr>
    </w:p>
    <w:p w:rsidR="00167C60" w:rsidRPr="00D87181" w:rsidRDefault="00167C60" w:rsidP="00D87181">
      <w:pPr>
        <w:jc w:val="both"/>
        <w:rPr>
          <w:sz w:val="24"/>
          <w:szCs w:val="24"/>
        </w:rPr>
      </w:pPr>
    </w:p>
    <w:p w:rsidR="00D87181" w:rsidRDefault="00D87181" w:rsidP="00D87181">
      <w:pPr>
        <w:jc w:val="both"/>
        <w:rPr>
          <w:sz w:val="24"/>
          <w:szCs w:val="24"/>
        </w:rPr>
      </w:pPr>
    </w:p>
    <w:p w:rsidR="00D87181" w:rsidRPr="00D87181" w:rsidRDefault="00D87181" w:rsidP="00D87181">
      <w:pPr>
        <w:jc w:val="both"/>
        <w:rPr>
          <w:sz w:val="24"/>
          <w:szCs w:val="24"/>
        </w:rPr>
      </w:pPr>
    </w:p>
    <w:sectPr w:rsidR="00D87181" w:rsidRPr="00D87181" w:rsidSect="00B76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0FE7"/>
    <w:multiLevelType w:val="hybridMultilevel"/>
    <w:tmpl w:val="526E96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6E0"/>
    <w:multiLevelType w:val="hybridMultilevel"/>
    <w:tmpl w:val="F82C77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7181"/>
    <w:rsid w:val="0006552F"/>
    <w:rsid w:val="00167C60"/>
    <w:rsid w:val="00176256"/>
    <w:rsid w:val="001F65CE"/>
    <w:rsid w:val="00266495"/>
    <w:rsid w:val="003B4DDC"/>
    <w:rsid w:val="004020D8"/>
    <w:rsid w:val="004E75D4"/>
    <w:rsid w:val="005B2C51"/>
    <w:rsid w:val="0061486A"/>
    <w:rsid w:val="006A7DFB"/>
    <w:rsid w:val="007058ED"/>
    <w:rsid w:val="00826F81"/>
    <w:rsid w:val="0088327B"/>
    <w:rsid w:val="009C2FEF"/>
    <w:rsid w:val="00A41564"/>
    <w:rsid w:val="00B37748"/>
    <w:rsid w:val="00B76DCD"/>
    <w:rsid w:val="00B9438E"/>
    <w:rsid w:val="00BC36F7"/>
    <w:rsid w:val="00C566FC"/>
    <w:rsid w:val="00D20BF2"/>
    <w:rsid w:val="00D45152"/>
    <w:rsid w:val="00D87181"/>
    <w:rsid w:val="00DB537E"/>
    <w:rsid w:val="00EF2915"/>
    <w:rsid w:val="00EF364B"/>
    <w:rsid w:val="00F4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</cp:lastModifiedBy>
  <cp:revision>3</cp:revision>
  <dcterms:created xsi:type="dcterms:W3CDTF">2014-03-03T18:00:00Z</dcterms:created>
  <dcterms:modified xsi:type="dcterms:W3CDTF">2014-03-03T18:02:00Z</dcterms:modified>
</cp:coreProperties>
</file>